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6C" w:rsidRPr="00C0676C" w:rsidRDefault="00C0676C" w:rsidP="00C0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6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C0676C" w:rsidRPr="00C0676C" w:rsidRDefault="00C0676C" w:rsidP="00C0676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C0676C" w:rsidRPr="00C0676C" w:rsidRDefault="00C0676C" w:rsidP="00C0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6C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0676C" w:rsidRPr="00C0676C" w:rsidRDefault="00C0676C" w:rsidP="00C0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6C" w:rsidRPr="00C0676C" w:rsidRDefault="00C0676C" w:rsidP="00C0676C">
      <w:pPr>
        <w:keepNext/>
        <w:tabs>
          <w:tab w:val="left" w:pos="2850"/>
          <w:tab w:val="center" w:pos="467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У М А</w:t>
      </w:r>
    </w:p>
    <w:p w:rsidR="00C0676C" w:rsidRPr="00C0676C" w:rsidRDefault="00C0676C" w:rsidP="00C0676C">
      <w:pPr>
        <w:tabs>
          <w:tab w:val="left" w:pos="66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6C" w:rsidRPr="00C0676C" w:rsidRDefault="00C0676C" w:rsidP="00C0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676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676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0676C" w:rsidRPr="00C0676C" w:rsidRDefault="00C0676C" w:rsidP="00C0676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6C" w:rsidRPr="00C0676C" w:rsidRDefault="00C0676C" w:rsidP="00C0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29.03.2013</w:t>
      </w:r>
      <w:r w:rsidRPr="00C0676C">
        <w:rPr>
          <w:rFonts w:ascii="Times New Roman" w:hAnsi="Times New Roman" w:cs="Times New Roman"/>
          <w:sz w:val="28"/>
          <w:szCs w:val="28"/>
        </w:rPr>
        <w:tab/>
      </w:r>
      <w:r w:rsidRPr="00C0676C">
        <w:rPr>
          <w:rFonts w:ascii="Times New Roman" w:hAnsi="Times New Roman" w:cs="Times New Roman"/>
          <w:sz w:val="28"/>
          <w:szCs w:val="28"/>
        </w:rPr>
        <w:tab/>
      </w:r>
      <w:r w:rsidRPr="00C0676C">
        <w:rPr>
          <w:rFonts w:ascii="Times New Roman" w:hAnsi="Times New Roman" w:cs="Times New Roman"/>
          <w:sz w:val="28"/>
          <w:szCs w:val="28"/>
        </w:rPr>
        <w:tab/>
      </w:r>
      <w:r w:rsidRPr="00C0676C">
        <w:rPr>
          <w:rFonts w:ascii="Times New Roman" w:hAnsi="Times New Roman" w:cs="Times New Roman"/>
          <w:sz w:val="28"/>
          <w:szCs w:val="28"/>
        </w:rPr>
        <w:tab/>
      </w:r>
      <w:r w:rsidRPr="00C0676C">
        <w:rPr>
          <w:rFonts w:ascii="Times New Roman" w:hAnsi="Times New Roman" w:cs="Times New Roman"/>
          <w:sz w:val="28"/>
          <w:szCs w:val="28"/>
        </w:rPr>
        <w:tab/>
      </w:r>
      <w:r w:rsidRPr="00C0676C">
        <w:rPr>
          <w:rFonts w:ascii="Times New Roman" w:hAnsi="Times New Roman" w:cs="Times New Roman"/>
          <w:sz w:val="28"/>
          <w:szCs w:val="28"/>
        </w:rPr>
        <w:tab/>
      </w:r>
      <w:r w:rsidRPr="00C0676C">
        <w:rPr>
          <w:rFonts w:ascii="Times New Roman" w:hAnsi="Times New Roman" w:cs="Times New Roman"/>
          <w:sz w:val="28"/>
          <w:szCs w:val="28"/>
        </w:rPr>
        <w:tab/>
      </w:r>
      <w:r w:rsidRPr="00C0676C">
        <w:rPr>
          <w:rFonts w:ascii="Times New Roman" w:hAnsi="Times New Roman" w:cs="Times New Roman"/>
          <w:sz w:val="28"/>
          <w:szCs w:val="28"/>
        </w:rPr>
        <w:tab/>
      </w:r>
      <w:r w:rsidRPr="00C0676C">
        <w:rPr>
          <w:rFonts w:ascii="Times New Roman" w:hAnsi="Times New Roman" w:cs="Times New Roman"/>
          <w:sz w:val="28"/>
          <w:szCs w:val="28"/>
        </w:rPr>
        <w:tab/>
      </w:r>
      <w:r w:rsidRPr="00C0676C">
        <w:rPr>
          <w:rFonts w:ascii="Times New Roman" w:hAnsi="Times New Roman" w:cs="Times New Roman"/>
          <w:sz w:val="28"/>
          <w:szCs w:val="28"/>
        </w:rPr>
        <w:tab/>
        <w:t>№ 225</w:t>
      </w:r>
    </w:p>
    <w:p w:rsidR="00C0676C" w:rsidRPr="00C0676C" w:rsidRDefault="00C0676C" w:rsidP="00C0676C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676C" w:rsidRPr="00C0676C" w:rsidRDefault="00C0676C" w:rsidP="00C0676C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0676C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C06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6C" w:rsidRPr="00C0676C" w:rsidRDefault="00C0676C" w:rsidP="00C0676C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отчета главы Ханты Мансийского </w:t>
      </w:r>
    </w:p>
    <w:p w:rsidR="00C0676C" w:rsidRPr="00C0676C" w:rsidRDefault="00C0676C" w:rsidP="00C0676C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района за 2012 год</w:t>
      </w:r>
    </w:p>
    <w:p w:rsidR="00C0676C" w:rsidRPr="00C0676C" w:rsidRDefault="00C0676C" w:rsidP="00C06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76C" w:rsidRPr="00C0676C" w:rsidRDefault="00C0676C" w:rsidP="00C06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76C" w:rsidRPr="00C0676C" w:rsidRDefault="00C0676C" w:rsidP="00C067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В целях контроля за деятельностью органов местного </w:t>
      </w:r>
      <w:proofErr w:type="spellStart"/>
      <w:proofErr w:type="gramStart"/>
      <w:r w:rsidRPr="00C0676C">
        <w:rPr>
          <w:rFonts w:ascii="Times New Roman" w:hAnsi="Times New Roman" w:cs="Times New Roman"/>
          <w:sz w:val="28"/>
          <w:szCs w:val="28"/>
        </w:rPr>
        <w:t>самоуправ-ления</w:t>
      </w:r>
      <w:proofErr w:type="spellEnd"/>
      <w:proofErr w:type="gramEnd"/>
      <w:r w:rsidRPr="00C0676C">
        <w:rPr>
          <w:rFonts w:ascii="Times New Roman" w:hAnsi="Times New Roman" w:cs="Times New Roman"/>
          <w:sz w:val="28"/>
          <w:szCs w:val="28"/>
        </w:rPr>
        <w:t xml:space="preserve"> Ханты-Мансийского района, руководствуясь статьями 18, 50 Устава Ханты-Мансийского района</w:t>
      </w:r>
      <w:r w:rsidRPr="00C0676C">
        <w:rPr>
          <w:rFonts w:ascii="Times New Roman" w:hAnsi="Times New Roman" w:cs="Times New Roman"/>
          <w:bCs/>
          <w:sz w:val="28"/>
          <w:szCs w:val="28"/>
        </w:rPr>
        <w:t xml:space="preserve">, статьями 10-14 </w:t>
      </w:r>
      <w:r w:rsidRPr="00C0676C">
        <w:rPr>
          <w:rFonts w:ascii="Times New Roman" w:hAnsi="Times New Roman" w:cs="Times New Roman"/>
          <w:sz w:val="28"/>
          <w:szCs w:val="28"/>
        </w:rPr>
        <w:t xml:space="preserve"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98, </w:t>
      </w:r>
    </w:p>
    <w:p w:rsidR="00C0676C" w:rsidRPr="00C0676C" w:rsidRDefault="00C0676C" w:rsidP="00C0676C">
      <w:pPr>
        <w:spacing w:after="0" w:line="240" w:lineRule="auto"/>
        <w:ind w:firstLine="76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676C" w:rsidRPr="00C0676C" w:rsidRDefault="00C0676C" w:rsidP="00C0676C">
      <w:pPr>
        <w:spacing w:after="0" w:line="240" w:lineRule="auto"/>
        <w:ind w:firstLine="76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0676C" w:rsidRPr="00C0676C" w:rsidRDefault="00C0676C" w:rsidP="00C067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676C" w:rsidRPr="00C0676C" w:rsidRDefault="00C0676C" w:rsidP="00C067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676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0676C" w:rsidRPr="00C0676C" w:rsidRDefault="00C0676C" w:rsidP="00C067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676C" w:rsidRPr="00C0676C" w:rsidRDefault="00C0676C" w:rsidP="00C067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1. Утвердить ежегодный отчет главы Ханты-Мансийского района за 2012 год согласно приложению к настоящему решению.</w:t>
      </w:r>
    </w:p>
    <w:p w:rsidR="00C0676C" w:rsidRPr="00C0676C" w:rsidRDefault="00C0676C" w:rsidP="00C067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Pr="00C0676C">
        <w:rPr>
          <w:rFonts w:ascii="Times New Roman" w:hAnsi="Times New Roman" w:cs="Times New Roman"/>
          <w:sz w:val="28"/>
          <w:szCs w:val="28"/>
          <w:lang w:eastAsia="ru-RU"/>
        </w:rPr>
        <w:t>деятельность главы Ханты-Мансийского района за 2012 год удовлетворительной.</w:t>
      </w:r>
    </w:p>
    <w:p w:rsidR="00C0676C" w:rsidRPr="00C0676C" w:rsidRDefault="00C0676C" w:rsidP="00C067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 и подлежит официальному опубликованию (обнародованию).</w:t>
      </w:r>
    </w:p>
    <w:p w:rsidR="00C0676C" w:rsidRPr="00C0676C" w:rsidRDefault="00C0676C" w:rsidP="00C06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76C" w:rsidRPr="00C0676C" w:rsidRDefault="00C0676C" w:rsidP="00C0676C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76C" w:rsidRPr="00C0676C" w:rsidRDefault="00C0676C" w:rsidP="00C0676C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67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C0676C" w:rsidRPr="00C0676C" w:rsidRDefault="00C0676C" w:rsidP="00C0676C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67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                                                           П.Н. Захаров</w:t>
      </w:r>
    </w:p>
    <w:p w:rsidR="00C0676C" w:rsidRPr="00C0676C" w:rsidRDefault="00C0676C" w:rsidP="00C0676C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0676C" w:rsidRPr="00C0676C" w:rsidRDefault="00C0676C" w:rsidP="00C0676C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67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02.04.2013</w:t>
      </w:r>
    </w:p>
    <w:p w:rsidR="00C0676C" w:rsidRPr="00C0676C" w:rsidRDefault="00C0676C" w:rsidP="00C0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76C" w:rsidRPr="00C0676C" w:rsidRDefault="00C0676C" w:rsidP="00C0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0676C" w:rsidRPr="00C0676C" w:rsidSect="00B37E4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0676C" w:rsidRPr="00C0676C" w:rsidRDefault="00C0676C" w:rsidP="00C06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676C" w:rsidRPr="00C0676C" w:rsidRDefault="00C0676C" w:rsidP="00C06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C0676C" w:rsidRPr="00C0676C" w:rsidRDefault="00C0676C" w:rsidP="00C06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0676C" w:rsidRPr="00C0676C" w:rsidRDefault="00C0676C" w:rsidP="00C06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от 29.03.2013 № 225</w:t>
      </w:r>
    </w:p>
    <w:p w:rsidR="00C0676C" w:rsidRPr="00C0676C" w:rsidRDefault="00C0676C" w:rsidP="00C067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676C" w:rsidRPr="00C0676C" w:rsidRDefault="00C0676C" w:rsidP="00C067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676C">
        <w:rPr>
          <w:rFonts w:ascii="Times New Roman" w:hAnsi="Times New Roman" w:cs="Times New Roman"/>
          <w:b/>
          <w:sz w:val="28"/>
          <w:szCs w:val="28"/>
        </w:rPr>
        <w:t>Ежегодный отчет главы Ханты Мансийского района за 2012 год</w:t>
      </w:r>
    </w:p>
    <w:p w:rsidR="00C0676C" w:rsidRPr="00C0676C" w:rsidRDefault="00C0676C" w:rsidP="00C067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части 2 статьи 50 Устава Ханты-Мансийского района представляется отчет главы района о результатах его деятельности и решении вопросов, поставленных Думой района, за 2012 год (далее – отчет главы района).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Ежегодный отчет главы района представляет собой итоговую информацию о результатах деятельности главы района за прошедший календарный год, в соответствии с полномочиями, установленными действующим законодательством Российской Федерации, в том числе о решении вопросов, поставленных Думой района. Объем полномочий определен статьей 24 Устава Ханты-Мансийского района. </w:t>
      </w:r>
    </w:p>
    <w:p w:rsidR="00C0676C" w:rsidRPr="00C0676C" w:rsidRDefault="00C0676C" w:rsidP="00C0676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291700038"/>
      <w:bookmarkStart w:id="1" w:name="_Toc291699583"/>
      <w:bookmarkStart w:id="2" w:name="_Toc291698718"/>
      <w:bookmarkStart w:id="3" w:name="_Toc289007772"/>
      <w:r w:rsidRPr="00C0676C">
        <w:rPr>
          <w:rFonts w:ascii="Times New Roman" w:hAnsi="Times New Roman" w:cs="Times New Roman"/>
          <w:color w:val="000000"/>
          <w:sz w:val="28"/>
          <w:szCs w:val="28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Функционирование системы местного самоуправления призвано обеспечить самостоятельное решение населением непосредственно и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  <w:bookmarkEnd w:id="0"/>
      <w:bookmarkEnd w:id="1"/>
      <w:bookmarkEnd w:id="2"/>
      <w:bookmarkEnd w:id="3"/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0676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Представительские функции главы Ханты-Мансийского района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6C">
        <w:rPr>
          <w:rFonts w:ascii="Times New Roman" w:hAnsi="Times New Roman" w:cs="Times New Roman"/>
          <w:sz w:val="28"/>
          <w:szCs w:val="28"/>
        </w:rPr>
        <w:t>Согласно полномочиям, установленным статьёй 24 Устава Ханты-Мансийского района, как высшее должностное лицо муниципального образования глава района в течение 2012 года представлял Ханты-Мансийский район, принимая участие в заседаниях совещательных органов Думы Ханты-Мансийского автономного округа и совещательных органах, созданных при Губернаторе Ханты-Мансийского автономного округа – Югры.</w:t>
      </w:r>
      <w:proofErr w:type="gramEnd"/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Глава Ханты-Мансийского района принимал участие в заседаниях: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- Думы Ханты-Мансийского автономного округа;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-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пятого созыва;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- Совета при Губернаторе Ханты-Мансийского автономного округа – Югры по развитию местного самоуправления;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- Совета при Губернаторе Ханты-Мансийского автономного округа – Югры по развитию информационного общества.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lastRenderedPageBreak/>
        <w:t>На заседаниях рассматривались актуальные вопросы в различных сферах деятельности органов местного самоуправления муниципальных образований Ханты-Мансийского автономного округа – Югры.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Принятые решения коллегиальных органов направлялись в органы местного самоуправления для организации их исполнения и проведения мониторинга ситуации по выполнению данных решений.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76C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заместителей Губернатора Югры были инициированы и проводились совещания по решению жизненно важных вопросов социального экономического развития района:</w:t>
      </w:r>
    </w:p>
    <w:p w:rsidR="00C0676C" w:rsidRPr="00C0676C" w:rsidRDefault="00C0676C" w:rsidP="00C0676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реализации механизмов государственно-частного партнёрства на территории района для строительства социальных объектов, как результат определены механизмы финансирования объектов детского сада </w:t>
      </w:r>
      <w:proofErr w:type="spellStart"/>
      <w:r w:rsidRPr="00C0676C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Pr="00C0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школы-сада в д. </w:t>
      </w:r>
      <w:proofErr w:type="spellStart"/>
      <w:r w:rsidRPr="00C0676C">
        <w:rPr>
          <w:rFonts w:ascii="Times New Roman" w:hAnsi="Times New Roman" w:cs="Times New Roman"/>
          <w:color w:val="000000" w:themeColor="text1"/>
          <w:sz w:val="28"/>
          <w:szCs w:val="28"/>
        </w:rPr>
        <w:t>Согом</w:t>
      </w:r>
      <w:proofErr w:type="spellEnd"/>
      <w:r w:rsidRPr="00C067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676C" w:rsidRPr="00C0676C" w:rsidRDefault="00C0676C" w:rsidP="00C0676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выделению денежных средств на укрепление материально-технической базы учреждений, осуществляющих развитие физической культуры и спорта;</w:t>
      </w:r>
    </w:p>
    <w:p w:rsidR="00C0676C" w:rsidRPr="00C0676C" w:rsidRDefault="00C0676C" w:rsidP="00C0676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выделению дополнительных сре</w:t>
      </w:r>
      <w:proofErr w:type="gram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агропромышленного сектора экономики и малого предпринимательства в районе.</w:t>
      </w:r>
    </w:p>
    <w:p w:rsidR="00C0676C" w:rsidRPr="00C0676C" w:rsidRDefault="00C0676C" w:rsidP="00C067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 2012 году были проведены ряд встреч с депутатами: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Государственной Думы Российской Федерации </w:t>
      </w:r>
      <w:proofErr w:type="gramStart"/>
      <w:r w:rsidRPr="00C0676C">
        <w:rPr>
          <w:rFonts w:ascii="Times New Roman" w:hAnsi="Times New Roman" w:cs="Times New Roman"/>
          <w:sz w:val="28"/>
          <w:szCs w:val="28"/>
        </w:rPr>
        <w:t>Завальным</w:t>
      </w:r>
      <w:proofErr w:type="gramEnd"/>
      <w:r w:rsidRPr="00C0676C">
        <w:rPr>
          <w:rFonts w:ascii="Times New Roman" w:hAnsi="Times New Roman" w:cs="Times New Roman"/>
          <w:sz w:val="28"/>
          <w:szCs w:val="28"/>
        </w:rPr>
        <w:t xml:space="preserve"> П.Н.;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Депутатами Думы Ханты-Мансийского автономного округа – Югры: </w:t>
      </w:r>
      <w:hyperlink r:id="rId6" w:history="1"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Алексеевой Н.Г.</w:t>
        </w:r>
      </w:hyperlink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Андреевым А.В.</w:t>
        </w:r>
      </w:hyperlink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proofErr w:type="spellStart"/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Гоголевой</w:t>
        </w:r>
        <w:proofErr w:type="spellEnd"/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Т.С.</w:t>
        </w:r>
      </w:hyperlink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Дегтярёвым С.Ю.</w:t>
        </w:r>
      </w:hyperlink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proofErr w:type="spellStart"/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Западновой</w:t>
        </w:r>
        <w:proofErr w:type="spellEnd"/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Н.Л.</w:t>
        </w:r>
      </w:hyperlink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proofErr w:type="spellStart"/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Мизгулиным</w:t>
        </w:r>
        <w:proofErr w:type="spellEnd"/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Д.А.</w:t>
        </w:r>
      </w:hyperlink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proofErr w:type="spellStart"/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Сондыковым</w:t>
        </w:r>
        <w:proofErr w:type="spellEnd"/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В.С.</w:t>
        </w:r>
      </w:hyperlink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C0676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Хохряковым Б.С.</w:t>
        </w:r>
      </w:hyperlink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Депутатами Тюменской областной Думы: </w:t>
      </w:r>
      <w:hyperlink r:id="rId14" w:history="1">
        <w:r w:rsidRPr="00C0676C">
          <w:rPr>
            <w:rFonts w:ascii="Times New Roman" w:hAnsi="Times New Roman" w:cs="Times New Roman"/>
            <w:sz w:val="28"/>
            <w:szCs w:val="28"/>
          </w:rPr>
          <w:t>Козловым С.С.</w:t>
        </w:r>
      </w:hyperlink>
      <w:r w:rsidRPr="00C067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proofErr w:type="spellStart"/>
        <w:r w:rsidRPr="00C0676C">
          <w:rPr>
            <w:rFonts w:ascii="Times New Roman" w:hAnsi="Times New Roman" w:cs="Times New Roman"/>
            <w:sz w:val="28"/>
            <w:szCs w:val="28"/>
          </w:rPr>
          <w:t>Корепановым</w:t>
        </w:r>
        <w:proofErr w:type="spellEnd"/>
        <w:r w:rsidRPr="00C0676C">
          <w:rPr>
            <w:rFonts w:ascii="Times New Roman" w:hAnsi="Times New Roman" w:cs="Times New Roman"/>
            <w:sz w:val="28"/>
            <w:szCs w:val="28"/>
          </w:rPr>
          <w:t> Г.С.</w:t>
        </w:r>
      </w:hyperlink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 ходе встреч и выездов в населённые пункты района обсуждались проблемные вопросы территории, перспективы социально-экономического развития района. Из депутатских фондов Тюменской областной Думы и Думы Югры в 2012 году было выделено более 9 млн. рублей. Денежные средства направлены на приобретение автомобилей, игрушек, инвентаря для образовательных учреждений, поддержку талантливой молодёжи.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Совместно с Ассоциацией «Совет муниципальных образований Ханты-Мансийского автономного округа – Югры» 05.07.2012 организовано и проведено совещание с участием депутатов представительного органа, глав поселений, руководителей администрации района по обсуждению проекта Стратегии </w:t>
      </w:r>
      <w:r w:rsidRPr="00C0676C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Ханты-Мансийского автономного округа </w:t>
      </w:r>
      <w:r w:rsidRPr="00C0676C">
        <w:rPr>
          <w:rFonts w:ascii="Times New Roman" w:hAnsi="Times New Roman" w:cs="Times New Roman"/>
          <w:sz w:val="28"/>
          <w:szCs w:val="28"/>
        </w:rPr>
        <w:t>–</w:t>
      </w:r>
      <w:r w:rsidRPr="00C0676C">
        <w:rPr>
          <w:rFonts w:ascii="Times New Roman" w:hAnsi="Times New Roman" w:cs="Times New Roman"/>
          <w:bCs/>
          <w:sz w:val="28"/>
          <w:szCs w:val="28"/>
        </w:rPr>
        <w:t xml:space="preserve"> Югры до 2020 года и на период 2030 года, по итогам предложения направлены Правительству Югры.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межмуниципального сотрудничества в организации исполнения полномочий по решению вопросов местного значения, выражения или защиты общих интересов, создания правовых и организационных основ для совместной деятельности 16.03.2012 заключено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соглашение с муниципальным образованием </w:t>
      </w:r>
      <w:proofErr w:type="spell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рамках которого было проведено 3 совместных совещания по обсуждению существующих проблем и обмену опытом по их решению.</w:t>
      </w:r>
      <w:proofErr w:type="gram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намерения и уже проведены переговоры по заключению аналогичных соглашений с Белоярским, Октябрьским, </w:t>
      </w:r>
      <w:proofErr w:type="spell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Нижневартовским</w:t>
      </w:r>
      <w:proofErr w:type="spell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районами.</w:t>
      </w:r>
      <w:proofErr w:type="gramEnd"/>
    </w:p>
    <w:p w:rsidR="00C0676C" w:rsidRPr="00C0676C" w:rsidRDefault="00C0676C" w:rsidP="00C0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2012 году проводились приёмы делегаций республики Словакия, муниципального образования Домбаровский район Оренбургской области, муниципальных образований Мурманской области </w:t>
      </w:r>
      <w:proofErr w:type="spell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патиты</w:t>
      </w:r>
      <w:proofErr w:type="spell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г.Кирова</w:t>
      </w:r>
      <w:proofErr w:type="spell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официальной делегации Ханты-Мансийского автономного округа – Югры глава района выезжал в Республику Словакия, где между предпринимателем Словакии и главой крестьянского (фермерского) хозяйства района Марчук Н.И. был подписан протокол о намерениях сотрудничества.</w:t>
      </w:r>
    </w:p>
    <w:p w:rsidR="00C0676C" w:rsidRPr="00C0676C" w:rsidRDefault="00C0676C" w:rsidP="00C0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взаимодействия с нефтяными компаниями, осуществляющими свою деятельность на территории района, были проведены встречи с руководством компаний </w:t>
      </w:r>
      <w:r w:rsidRPr="00C0676C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Pr="00C0676C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C0676C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>», ТНК-</w:t>
      </w:r>
      <w:proofErr w:type="spellStart"/>
      <w:r w:rsidRPr="00C0676C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«НАК АКИ-ОТЫР», ООО «</w:t>
      </w:r>
      <w:proofErr w:type="spell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Лукоил</w:t>
      </w:r>
      <w:proofErr w:type="spell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-Западная Сибирь» и др., в том числе для подписания соглашений о сотрудничестве. В соответствии с соглашениями в бюджет района дополнительно привлечено средств на сумму 263,66 млн. рублей.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основывалась на формировании координирующих органов при главе района, проведении совещаний, направленных на взаимодействие органов местного самоуправления района.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администрацией района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июнь 2012 года практиковалось проведение аппаратных совещаний с главой администрации и его заместителями. Всего было проведено 20 таких совещаний, по результатам которых было дано 165 поручений. В связи с организацией селекторных совещаний с главами сельских поселений и организацией проведения совещаний по проблемам сельских поселений, было принято решение аппаратные совещания с главой администрации и его заместителями не проводить.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практику работы вошли такие формы работы, как участие заместителя главы района и заместителя председателя Думы района в работе совещательных органов администрации Ханты-Мансийского района. Заместитель председателя Думы района участвует в аппаратных совещаниях, проводимых главой администрации Ханты-Мансийского района.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76C">
        <w:rPr>
          <w:rFonts w:ascii="Times New Roman" w:hAnsi="Times New Roman" w:cs="Times New Roman"/>
          <w:b/>
          <w:sz w:val="28"/>
          <w:szCs w:val="28"/>
        </w:rPr>
        <w:t>Взаимодействие с сельскими поселениями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</w:t>
      </w:r>
      <w:r w:rsidRPr="00C0676C">
        <w:rPr>
          <w:rFonts w:ascii="Times New Roman" w:hAnsi="Times New Roman" w:cs="Times New Roman"/>
          <w:sz w:val="28"/>
          <w:szCs w:val="28"/>
        </w:rPr>
        <w:t xml:space="preserve"> координирующим органом при главе района является Совет Глав муниципальных образований Ханты-Мансийского района. В 2012 году проведено и запротоколировано 4 заседания</w:t>
      </w:r>
      <w:r w:rsidRPr="00C0676C">
        <w:rPr>
          <w:rFonts w:ascii="Times New Roman" w:hAnsi="Times New Roman" w:cs="Times New Roman"/>
          <w:b/>
          <w:sz w:val="28"/>
          <w:szCs w:val="28"/>
        </w:rPr>
        <w:t>.</w:t>
      </w:r>
      <w:r w:rsidRPr="00C0676C">
        <w:rPr>
          <w:rFonts w:ascii="Times New Roman" w:hAnsi="Times New Roman" w:cs="Times New Roman"/>
          <w:sz w:val="28"/>
          <w:szCs w:val="28"/>
        </w:rPr>
        <w:t xml:space="preserve"> По результатам заседаний Совета было дано 139 поручения, исполнено 74, оставлено на контроле 65.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В течение 2012 года было проведено 8 совещаний по проблемным вопросам сельских поселений </w:t>
      </w:r>
      <w:proofErr w:type="spellStart"/>
      <w:r w:rsidRPr="00C0676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76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76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76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676C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C0676C">
        <w:rPr>
          <w:rFonts w:ascii="Times New Roman" w:hAnsi="Times New Roman" w:cs="Times New Roman"/>
          <w:sz w:val="28"/>
          <w:szCs w:val="28"/>
        </w:rPr>
        <w:t>. По результатам совещаний было дано 152 поручения, исполнено 84, оставлено на контроле 68. На таких совещаниях проводится анализ существующих проблем поселения, определяются способ их решения и исполнители. В 2013 году практика проведения таких совещаний будет продолжена.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октября 2012 года еженедельно при главе района проводятся селекторные совещания</w:t>
      </w:r>
      <w:proofErr w:type="gram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главами сельских поселений. В 2012 году было проведено 10 совещаний. Селекторные совещания позволяют обеспечить </w:t>
      </w:r>
      <w:proofErr w:type="gram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ситуацией в целом по району, информировать глав сельских поселений об изменениях в законодательстве, эффективно решать проблемные вопросы, требующие оперативного вмешательства. В работе селекторных совещаний принимают участие работники прокуратуры, органов внутренних дел, налоговой инспекции, территориальной избирательной комиссии и др., что позволяет обеспечить более эффективное взаимодействие этих органов с сельскими поселениями района.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В целом при главе Ханты-Мансийского района организована работа 6-и Советов: 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1) Совет Глав муниципальных образований Ханты-Мансийского района;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2) Межведомственный Совет по противодействию коррупции;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3) </w:t>
      </w:r>
      <w:r w:rsidRPr="00C0676C">
        <w:rPr>
          <w:rFonts w:ascii="Times New Roman" w:eastAsia="Calibri" w:hAnsi="Times New Roman" w:cs="Times New Roman"/>
          <w:sz w:val="28"/>
          <w:szCs w:val="28"/>
        </w:rPr>
        <w:t>Совет руководителей сельскохозяйственных предприятий, крестьянских (фермерских) хозяйств;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4) Совет руководителей национальных общин и предприятий;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5) Совет по развитию малого и среднего предпринимательства Ханты-Мансийского района;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6) Общественный Совет.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Всего в 2012 году проведено 11 заседаний Советов.</w:t>
      </w:r>
    </w:p>
    <w:p w:rsidR="00C0676C" w:rsidRPr="00C0676C" w:rsidRDefault="00C0676C" w:rsidP="00C06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В 2012 году проведено два отраслевых совещания с главами сельских поселений и ОАО «ЮТЭК – Региональные сети» по обслуживанию сетей уличного освещения в сельских поселениях Ханты-Мансийского района на 2012-2013 годы. 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76C" w:rsidRPr="00C0676C" w:rsidRDefault="00C0676C" w:rsidP="00C06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и координации работы по </w:t>
      </w: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взаимодействию органов местного самоуправления с населением, общественными объединениями и организациями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</w:t>
      </w:r>
      <w:r w:rsidRPr="00C0676C">
        <w:rPr>
          <w:rFonts w:ascii="Times New Roman" w:hAnsi="Times New Roman" w:cs="Times New Roman"/>
          <w:sz w:val="28"/>
          <w:szCs w:val="28"/>
        </w:rPr>
        <w:t xml:space="preserve"> был образован Общественный Совет при главе Ханты-Мансийского района. В его состав вошли представители общественных организаций, почётные жители района, проведено два заседания Совета.</w:t>
      </w:r>
    </w:p>
    <w:p w:rsidR="00C0676C" w:rsidRPr="00C0676C" w:rsidRDefault="00C0676C" w:rsidP="00C067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676C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C0676C">
        <w:rPr>
          <w:rFonts w:ascii="Times New Roman" w:eastAsia="Calibri" w:hAnsi="Times New Roman" w:cs="Times New Roman"/>
          <w:sz w:val="28"/>
          <w:szCs w:val="28"/>
        </w:rPr>
        <w:t xml:space="preserve">Совет при главе района является консультативно-совещательным органом, созданным для обеспечения взаимодействия главы </w:t>
      </w:r>
      <w:r w:rsidRPr="00C067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и администрации Ханты-Мансийского района (далее - органы местного самоуправления района) с гражданами района, общественными объединениями и иными некоммерческими организациями, осуществляющими деятельность на территории Ханты-Мансийского района, содействия в решении важных для населения вопросов экономического и социального развития района, разработки мер по поддержке гражданских инициатив. </w:t>
      </w:r>
      <w:proofErr w:type="gramEnd"/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с представителями общественных организаций обсуждался проект программы «Поддержка социально ориентированных негосударственных некоммерческих организаций </w:t>
      </w:r>
      <w:proofErr w:type="gramStart"/>
      <w:r w:rsidRPr="00C067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76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0676C">
        <w:rPr>
          <w:rFonts w:ascii="Times New Roman" w:hAnsi="Times New Roman" w:cs="Times New Roman"/>
          <w:sz w:val="28"/>
          <w:szCs w:val="28"/>
        </w:rPr>
        <w:t xml:space="preserve"> районе на 2013-2015 годы». По результатам обсуждений участниками были внесены предложения, которые учтены при принятии программы. Программа утверждена в четвёртом квартале 2012 года. 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Общественным организациям оказывалась методическая помощь в оформлении документов и написании проектов программ, которые позволили им участвовать в окружных конкурсах и привлечь в текущем году денежные средства окружного бюджета. </w:t>
      </w:r>
      <w:proofErr w:type="gramStart"/>
      <w:r w:rsidRPr="00C0676C">
        <w:rPr>
          <w:rFonts w:ascii="Times New Roman" w:hAnsi="Times New Roman" w:cs="Times New Roman"/>
          <w:sz w:val="28"/>
          <w:szCs w:val="28"/>
        </w:rPr>
        <w:t xml:space="preserve">Религиозная общественная организация посёлка </w:t>
      </w:r>
      <w:proofErr w:type="spellStart"/>
      <w:r w:rsidRPr="00C0676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 xml:space="preserve"> приняла участие в 2 окружных конкурсах «Признание» и «Социальная звезда» с социальном проектом «Благая весть».</w:t>
      </w:r>
      <w:proofErr w:type="gramEnd"/>
      <w:r w:rsidRPr="00C0676C">
        <w:rPr>
          <w:rFonts w:ascii="Times New Roman" w:hAnsi="Times New Roman" w:cs="Times New Roman"/>
          <w:sz w:val="28"/>
          <w:szCs w:val="28"/>
        </w:rPr>
        <w:t xml:space="preserve"> Получила грант за 3 место, диплом участника конкурса и финансовую поддержку в сумме 200 тыс. рублей.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 настоящее время продолжается работа над новыми социальными проектами, которые смогут быть реализованы в 2013 году.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Совместно с общественными организациями района проводились социально значимые мероприятия - это паломнические поездки, встречи с ветеранами, организация крещения, рождественские каникулы. Оказано содействие в проведение газового отопления </w:t>
      </w:r>
      <w:proofErr w:type="gramStart"/>
      <w:r w:rsidRPr="00C067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76C">
        <w:rPr>
          <w:rFonts w:ascii="Times New Roman" w:hAnsi="Times New Roman" w:cs="Times New Roman"/>
          <w:sz w:val="28"/>
          <w:szCs w:val="28"/>
        </w:rPr>
        <w:t>молебном</w:t>
      </w:r>
      <w:proofErr w:type="gramEnd"/>
      <w:r w:rsidRPr="00C0676C">
        <w:rPr>
          <w:rFonts w:ascii="Times New Roman" w:hAnsi="Times New Roman" w:cs="Times New Roman"/>
          <w:sz w:val="28"/>
          <w:szCs w:val="28"/>
        </w:rPr>
        <w:t xml:space="preserve"> доме посёлка </w:t>
      </w:r>
      <w:proofErr w:type="spellStart"/>
      <w:r w:rsidRPr="00C0676C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6C">
        <w:rPr>
          <w:rFonts w:ascii="Times New Roman" w:hAnsi="Times New Roman" w:cs="Times New Roman"/>
          <w:sz w:val="28"/>
          <w:szCs w:val="28"/>
        </w:rPr>
        <w:t>Уже на протяжении ряда лет на территории района в период существования зимних автодорог в сельских поселениях района проводятся собрания (сходы) жителей населённых пунктов, где с отчётами (информацией) о проделанной работе перед населением выступают главы сельских поселений, руководители бюджетных организаций и учреждений, расположенных на территории посёлков, глава администрации района и его заместители, депутаты районной думы и сельских советов, глава района.</w:t>
      </w:r>
      <w:proofErr w:type="gramEnd"/>
      <w:r w:rsidRPr="00C0676C">
        <w:rPr>
          <w:rFonts w:ascii="Times New Roman" w:hAnsi="Times New Roman" w:cs="Times New Roman"/>
          <w:sz w:val="28"/>
          <w:szCs w:val="28"/>
        </w:rPr>
        <w:t xml:space="preserve"> Во время сходов жители района получают достоверную информацию из первых уст, руководители слышат о проблемах непосредственно от населения, происходит сближение власти и народа. Всего в 2012 году проведено 26 общих собраний (сходов) граждан. 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76 личных приёмов граждан, в том числе и выездных.</w:t>
      </w:r>
    </w:p>
    <w:p w:rsidR="00C0676C" w:rsidRPr="00C0676C" w:rsidRDefault="00C0676C" w:rsidP="00C06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 2012 году наградами главы района поощрены 293 жителя района и работников администрации района и два коллектива.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главы района внесено 9 ходатайств о награждении наградами Губернатора Ханты-Мансийского автономного округа – Югры </w:t>
      </w:r>
    </w:p>
    <w:p w:rsidR="00C0676C" w:rsidRPr="00C0676C" w:rsidRDefault="00C0676C" w:rsidP="00C067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76C" w:rsidRPr="00C0676C" w:rsidRDefault="00C0676C" w:rsidP="00C067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676C">
        <w:rPr>
          <w:rFonts w:ascii="Times New Roman" w:hAnsi="Times New Roman" w:cs="Times New Roman"/>
          <w:b/>
          <w:sz w:val="28"/>
          <w:szCs w:val="28"/>
        </w:rPr>
        <w:lastRenderedPageBreak/>
        <w:t>Обращения граждан</w:t>
      </w:r>
    </w:p>
    <w:p w:rsidR="00C0676C" w:rsidRPr="00C0676C" w:rsidRDefault="00C0676C" w:rsidP="00C067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В адрес главы Ханты-Мансийского района принято и зарегистрировано 161 обращение граждан. 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Самыми актуальными в обращениях граждан были вопросы: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оказание материальной помощи – 38 обращений;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жилищные вопросы – 28 обращений;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6C">
        <w:rPr>
          <w:rFonts w:ascii="Times New Roman" w:hAnsi="Times New Roman" w:cs="Times New Roman"/>
          <w:sz w:val="28"/>
          <w:szCs w:val="28"/>
        </w:rPr>
        <w:t>жилищно-коммунальные</w:t>
      </w:r>
      <w:proofErr w:type="gramEnd"/>
      <w:r w:rsidRPr="00C0676C">
        <w:rPr>
          <w:rFonts w:ascii="Times New Roman" w:hAnsi="Times New Roman" w:cs="Times New Roman"/>
          <w:sz w:val="28"/>
          <w:szCs w:val="28"/>
        </w:rPr>
        <w:t xml:space="preserve"> – 17 обращений;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поддержка малого бизнеса (АПК) – 13 обращений.</w:t>
      </w:r>
    </w:p>
    <w:p w:rsidR="00C0676C" w:rsidRPr="00C0676C" w:rsidRDefault="00C0676C" w:rsidP="00C067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и действует телефон горячей линии.</w:t>
      </w:r>
    </w:p>
    <w:p w:rsidR="00C0676C" w:rsidRPr="00C0676C" w:rsidRDefault="00C0676C" w:rsidP="00C067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76C" w:rsidRPr="00C0676C" w:rsidRDefault="00C0676C" w:rsidP="00C067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76C" w:rsidRPr="00C0676C" w:rsidRDefault="00C0676C" w:rsidP="00C067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Нормотворческая деятельность</w:t>
      </w:r>
    </w:p>
    <w:p w:rsidR="00C0676C" w:rsidRPr="00C0676C" w:rsidRDefault="00C0676C" w:rsidP="00C06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 2012 году принято 149 муниципальных правовых актов главы района, из них: распоряжений – 67, постановлений – 82. Среди основных регламентирующих документов были разработаны и приняты:</w:t>
      </w:r>
    </w:p>
    <w:p w:rsidR="00C0676C" w:rsidRPr="00C0676C" w:rsidRDefault="00C0676C" w:rsidP="00C06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рассмотрения обращений граждан, поступающих в адрес главы </w:t>
      </w:r>
      <w:r w:rsidRPr="00C0676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района; </w:t>
      </w:r>
    </w:p>
    <w:p w:rsidR="00C0676C" w:rsidRPr="00C0676C" w:rsidRDefault="00C0676C" w:rsidP="00C06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проектов и действующих муниципальных нормативных правовых актов главы  Ханты-Мансийского района;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76C" w:rsidRPr="00C0676C" w:rsidRDefault="00C0676C" w:rsidP="00C06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proofErr w:type="gramStart"/>
      <w:r w:rsidRPr="00C0676C">
        <w:rPr>
          <w:rFonts w:ascii="Times New Roman" w:hAnsi="Times New Roman" w:cs="Times New Roman"/>
          <w:sz w:val="28"/>
          <w:szCs w:val="28"/>
        </w:rPr>
        <w:t>проведения квалификационного экзамена муниципальных служащих органов местного самоуправления муниципального образования</w:t>
      </w:r>
      <w:proofErr w:type="gramEnd"/>
      <w:r w:rsidRPr="00C0676C">
        <w:rPr>
          <w:rFonts w:ascii="Times New Roman" w:hAnsi="Times New Roman" w:cs="Times New Roman"/>
          <w:sz w:val="28"/>
          <w:szCs w:val="28"/>
        </w:rPr>
        <w:t xml:space="preserve"> Ханты-Мансийский район и другие.</w:t>
      </w:r>
    </w:p>
    <w:p w:rsidR="00C0676C" w:rsidRPr="00C0676C" w:rsidRDefault="00C0676C" w:rsidP="00C06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Принято 5 постановлений о назначении публичных слушаний.</w:t>
      </w:r>
    </w:p>
    <w:p w:rsidR="00C0676C" w:rsidRPr="00C0676C" w:rsidRDefault="00C0676C" w:rsidP="00C06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За 2012 год главой Ханты-Мансийского района обеспечено направление в территориальный орган уполномоченного федерального органа исполнительной власти в сфере регистрации уставов муниципальных образований 6 решений Думы Ханты-Мансийского района, связанных с внесением изменений и дополнений в Устав Ханты-Мансийского района, с приложением документов, установленных федеральным законодательством.</w:t>
      </w:r>
    </w:p>
    <w:p w:rsidR="00C0676C" w:rsidRPr="00C0676C" w:rsidRDefault="00C0676C" w:rsidP="00C067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 течение 2012 года главой Ханты-Мансийского района обеспечено направление сведений, подлежащих включению в регистр муниципальных нормативных правовых актов Югры, в уполномоченный государственный орган Югры.</w:t>
      </w:r>
    </w:p>
    <w:p w:rsidR="00C0676C" w:rsidRPr="00C0676C" w:rsidRDefault="00C0676C" w:rsidP="00C06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676C">
        <w:rPr>
          <w:rFonts w:ascii="Times New Roman" w:hAnsi="Times New Roman" w:cs="Times New Roman"/>
          <w:b/>
          <w:sz w:val="28"/>
          <w:szCs w:val="28"/>
        </w:rPr>
        <w:t>Информационная политика</w:t>
      </w:r>
    </w:p>
    <w:p w:rsidR="00C0676C" w:rsidRPr="00C0676C" w:rsidRDefault="00C0676C" w:rsidP="00C06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C0676C">
        <w:rPr>
          <w:rFonts w:ascii="Times New Roman" w:hAnsi="Times New Roman" w:cs="Times New Roman"/>
          <w:sz w:val="28"/>
          <w:szCs w:val="28"/>
        </w:rPr>
        <w:t xml:space="preserve">Информационная политика осуществлялась в соответствии с Федеральным </w:t>
      </w:r>
      <w:hyperlink r:id="rId16" w:history="1">
        <w:r w:rsidRPr="00C067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676C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17" w:history="1">
        <w:r w:rsidRPr="00C067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676C">
        <w:rPr>
          <w:rFonts w:ascii="Times New Roman" w:hAnsi="Times New Roman" w:cs="Times New Roman"/>
          <w:sz w:val="28"/>
          <w:szCs w:val="28"/>
        </w:rPr>
        <w:t xml:space="preserve"> РФ от 27.12.1991 «О средствах массовой информации», действующим законодательством Ханты-Мансийского автономного округа - Югры и Уставом Ханты-Мансийского района, в соответствии с которым г</w:t>
      </w:r>
      <w:r w:rsidRPr="00C067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лава района в рамках своих полномочий организует работу по </w:t>
      </w:r>
      <w:r w:rsidRPr="00C0676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информационному </w:t>
      </w:r>
      <w:r w:rsidRPr="00C0676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lastRenderedPageBreak/>
        <w:t>сопровождению</w:t>
      </w:r>
      <w:proofErr w:type="gramEnd"/>
      <w:r w:rsidRPr="00C0676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своей деятельности, а так же информирует население Ханты-Мансийского района о своей деятельности</w:t>
      </w:r>
      <w:r w:rsidRPr="00C067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C0676C" w:rsidRPr="00C0676C" w:rsidRDefault="00C0676C" w:rsidP="00C06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Информационное сопровождение и информирование населения о деятельности главы осуществляется через пресс-службу главы района. </w:t>
      </w:r>
      <w:proofErr w:type="gramStart"/>
      <w:r w:rsidRPr="00C067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свою очередь пресс-секретарь главы района осуществляет взаимодействие со средствами массовой информации федерального, окружного и местного уровня, наполняет информационным контентом сайт администрации Ханты-Мансийского района, официальные интернет-аккаунты района в социальных сетях, взаимодействует с пресс-службами и отделами по связям с общественностью органов власти, общественных организаций и бизнес-структур, организует и проводит пресс-конференции, брифинги, пресс-туры и иные форматы работы с прессой. </w:t>
      </w:r>
      <w:proofErr w:type="gramEnd"/>
    </w:p>
    <w:p w:rsidR="00C0676C" w:rsidRPr="00C0676C" w:rsidRDefault="00C0676C" w:rsidP="00C067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Согласно составленной медиа карте, пресс-службой главы района производится ежедневная рассылка пресс-релизов и анонсирующих материалов в электронные и печатные средства массовой информации (основными являются - окружные информагентства РИЦ «Югра» и «Югра-</w:t>
      </w:r>
      <w:proofErr w:type="spellStart"/>
      <w:r w:rsidRPr="00C0676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>», телекомпании «Югра» и «</w:t>
      </w:r>
      <w:proofErr w:type="spellStart"/>
      <w:r w:rsidRPr="00C0676C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>», радио «Югра», газеты «Новости Югры» и «Наш район»). Кроме того информация размещается в разделе муниципальных образований единого официального сайта государственных органов (</w:t>
      </w:r>
      <w:proofErr w:type="spellStart"/>
      <w:r w:rsidRPr="00C0676C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67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676C">
        <w:rPr>
          <w:rFonts w:ascii="Times New Roman" w:hAnsi="Times New Roman" w:cs="Times New Roman"/>
          <w:sz w:val="28"/>
          <w:szCs w:val="28"/>
        </w:rPr>
        <w:t>).</w:t>
      </w:r>
    </w:p>
    <w:p w:rsidR="00C0676C" w:rsidRPr="00C0676C" w:rsidRDefault="00C0676C" w:rsidP="00C067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Основным средством информирования населения  Ханты-Мансийского района, несмотря на активно действующий официальный сайт и размещение информации на Интернет-ресурсах, по-прежнему остается газета «Наш район». Это обусловлено техническими проблемами, низкой доступность высокоскоростного интернета в населённых пунктах района.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 целях информирования населения нормативные правовые акты главы района размещаются в информационной системе "Консультант +", а также на официальном сайте органов местного самоуправления района в сети Интернет.</w:t>
      </w:r>
    </w:p>
    <w:p w:rsidR="00C0676C" w:rsidRPr="00C0676C" w:rsidRDefault="00C0676C" w:rsidP="00C06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76C" w:rsidRPr="00C0676C" w:rsidRDefault="00C0676C" w:rsidP="00C0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b/>
          <w:sz w:val="28"/>
          <w:szCs w:val="28"/>
        </w:rPr>
        <w:t>Исполнение полномочий председателя Думы Ханты-Мансийского района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</w:rPr>
        <w:t xml:space="preserve">В 2012 году проведено 9 заседаний Думы района (4 очередных и 5 внеочередных), на которых рассмотрен 121 вопрос. </w:t>
      </w:r>
    </w:p>
    <w:p w:rsidR="00C0676C" w:rsidRPr="00C0676C" w:rsidRDefault="00C0676C" w:rsidP="00C0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</w:rPr>
        <w:t>В отчетном периоде принято 110 решений, из них путем заочного голосования - 9 решений. Наибольшее число принятых решений носят характер нормативно обеспечивающих организационную деятельность органов местного самоуправления и отраслевых органов администрации Ханты-Мансийского района - 62 решения, 43 решения - информационно-контрольные и 6 решений о награждении и присвоении почетного звания.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</w:rPr>
        <w:t>По результатам публичных слушаний было принято 7 решений о внесении изменений в Устав Ханты-Мансийского района, внесены изменения в ряд положений, порядков.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76C">
        <w:rPr>
          <w:rFonts w:ascii="Times New Roman" w:hAnsi="Times New Roman" w:cs="Times New Roman"/>
          <w:sz w:val="28"/>
          <w:szCs w:val="28"/>
        </w:rPr>
        <w:lastRenderedPageBreak/>
        <w:t xml:space="preserve">Все решения Думы района своевременно в соответствии с Регламентом Думы района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подписаны главой района в течение 10 дней с момента их принятия на заседании Думы.</w:t>
      </w: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 течение 2012 года главой Ханты-Мансийского района в соответствии с порядком, установленным Уставом района, обеспечено опубликование (обнародование) нормативных правовых актов, принятых Думой района.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Основная работа проходила на заседаниях совместных постоянных депутатских комиссий, где депутатами Думы района обсуждались поступившие в Думу района проекты решений и информационные материалы. За прошедший период постоянными комиссиями Думы было проведено 18 совместных заседаний, на которых рассмотрено 155 вопросов. 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и налоговая политика Ханты-Мансийского района в 2012 году строилась в рамках реформы местного самоуправления в Российской Федерации. 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color w:val="000000"/>
          <w:sz w:val="28"/>
          <w:szCs w:val="28"/>
        </w:rPr>
        <w:t>Думой района в отчетном периоде принято 9 решений, в том числе о внесении изменений в бюджет Ханты-Мансийского района, утверждении отчета об исполнения бюджета за 2011 год и принятии бюджета Ханты-Мансийского района на 2013 год и плановый период 2014 и 2015 годов.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19-м заседании Думы района принят бюджет Ханты-Мансийского района на 2013 год </w:t>
      </w:r>
      <w:r w:rsidRPr="00C0676C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2014 и 2015 годов. </w:t>
      </w:r>
    </w:p>
    <w:p w:rsidR="00C0676C" w:rsidRPr="00C0676C" w:rsidRDefault="00C0676C" w:rsidP="00C0676C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bCs/>
          <w:sz w:val="28"/>
          <w:szCs w:val="28"/>
        </w:rPr>
        <w:t>Основные параметры бюджета на 2013 год: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</w:rPr>
        <w:t>-прогнозируемый общий объем доходов бюджета района в сумме</w:t>
      </w:r>
      <w:r w:rsidRPr="00C067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</w:rPr>
        <w:t>3 175 324,7</w:t>
      </w:r>
      <w:r w:rsidRPr="00C067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 1 672 835,3 тыс. рублей;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</w:rPr>
        <w:t xml:space="preserve">-общий объем расходов бюджета района в сумме 3 259 188,1 </w:t>
      </w:r>
      <w:proofErr w:type="spellStart"/>
      <w:r w:rsidRPr="00C0676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0676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0676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C067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</w:rPr>
        <w:t xml:space="preserve">-прогнозируемый дефицит бюджета района в сумме 83 863,4 </w:t>
      </w:r>
      <w:proofErr w:type="spellStart"/>
      <w:r w:rsidRPr="00C0676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0676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0676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C067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Думой района принято 4 решения о награждении Почетной грамотой Думы Ханты-Мансийского района 17 заслуженных жителей Ханты-Мансийского района и 2 решения о присвоении трем жителям Ханты-Мансийского района звания «Почетный гражданин Ханты-Мансийского района». 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важнейших направлений деятельности Думы Ханты-Мансийского района в 2012 году являлся </w:t>
      </w:r>
      <w:proofErr w:type="gramStart"/>
      <w:r w:rsidRPr="00C0676C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067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</w:t>
      </w:r>
      <w:r w:rsidRPr="00C0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76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поручений Думы </w:t>
      </w:r>
      <w:r w:rsidRPr="00C0676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C0676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Ханты-Мансийского района. </w:t>
      </w:r>
      <w:r w:rsidRPr="00C0676C">
        <w:rPr>
          <w:rFonts w:ascii="Times New Roman" w:eastAsia="Times New Roman" w:hAnsi="Times New Roman" w:cs="Times New Roman"/>
          <w:sz w:val="28"/>
          <w:szCs w:val="28"/>
        </w:rPr>
        <w:t>За 2012 год Думой района было дано 29 поручений администрации района, из них 28 исполнено, по одному поручению продлен срок исполнения.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Думы района будет представлена отдельно в отчёте Думы района.</w:t>
      </w:r>
    </w:p>
    <w:p w:rsidR="00C0676C" w:rsidRPr="00C0676C" w:rsidRDefault="00C0676C" w:rsidP="00C0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C0676C">
        <w:rPr>
          <w:rFonts w:ascii="Times New Roman" w:hAnsi="Times New Roman" w:cs="Times New Roman"/>
          <w:sz w:val="28"/>
          <w:szCs w:val="28"/>
        </w:rPr>
        <w:t xml:space="preserve">Согласно представленной администрацией района информации </w:t>
      </w:r>
      <w:r w:rsidRPr="00C0676C">
        <w:rPr>
          <w:rFonts w:ascii="Times New Roman" w:hAnsi="Times New Roman" w:cs="Times New Roman"/>
          <w:snapToGrid w:val="0"/>
          <w:sz w:val="28"/>
          <w:szCs w:val="28"/>
        </w:rPr>
        <w:t>итогов социально-экономического развития Ханты-Мансийского района за</w:t>
      </w:r>
      <w:r w:rsidRPr="00C0676C">
        <w:rPr>
          <w:rFonts w:ascii="Times New Roman" w:hAnsi="Times New Roman" w:cs="Times New Roman"/>
          <w:sz w:val="28"/>
          <w:szCs w:val="28"/>
        </w:rPr>
        <w:t xml:space="preserve"> 2012 год </w:t>
      </w:r>
      <w:r w:rsidRPr="00C0676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целом итоги характеризуются</w:t>
      </w:r>
      <w:r w:rsidRPr="00C067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положительной динамикой производства сельского хозяйства, объемов добычи нефти, </w:t>
      </w: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стоимостных показателей (в сопоставимых ценах) объема отгруженной продукции</w:t>
      </w:r>
      <w:r w:rsidRPr="00C067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показателей в сфере малого бизнеса и потребительского рынка, объемов вводимого жилья, уровня жизни населения, снижением уровня официальной безработицы, а также снижением </w:t>
      </w: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численности населения и </w:t>
      </w:r>
      <w:r w:rsidRPr="00C067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инвестиционной активности предприятий.</w:t>
      </w:r>
      <w:proofErr w:type="gramEnd"/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676C" w:rsidRPr="00C0676C" w:rsidRDefault="00C0676C" w:rsidP="00C06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рождений</w:t>
      </w: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 составило 327 детей, что на 23,8% больше уровня аналогичного периода 2011 года (264 детей).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смертей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 года составило 194 случая,</w:t>
      </w:r>
      <w:r w:rsidRPr="00C067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3% меньше аналогичного периода 2011 года (200 случаев).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Естественный прирост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за 2012 года составил 133 человека,</w:t>
      </w:r>
      <w:r w:rsidRPr="00C067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как в аналогичном периоде прошлого года количество рождений превышало количество смертей на 64 случая. 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Численность постоянного населения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снизилась на 43 человека по отношению к соответствующему периоду 2011 года и составила                         20 095 человек.</w:t>
      </w: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Среднесписочная численность работников по крупным и средним предприятиям</w:t>
      </w: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</w:t>
      </w: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14 468 человек, увеличившись к уровню аналогичного периода 2011 года на 11,5%. 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Численность официально зарегистрированных безработных</w:t>
      </w: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2013 года</w:t>
      </w: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239 человек, что ниже показателя на соответствующую дату 2012 года на 31,1% (347 человек).</w:t>
      </w:r>
      <w:r w:rsidRPr="00C067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официально зарегистрированных безработных составил 1,34% против уровня аналогичного периода 2012 года (2,08%).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Среднемесячная заработная плата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работающего по крупным и средним предприятиям за январь – декабрь 2012 года составила                         52 288,9 рублей, увеличившись по сравнению с аналогичным периодом прошлого года на 12,4%.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силами, по крупным и средним предприятиям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 год составил 151,3 млрд. рублей, увеличившись в сопоставимых ценах к уровню 2011 года на 8%. 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всем видам экономической деятельности за 2012 год отмечается увеличение стоимостных объемов: по производству и распределению электроэнергии, газа и воды – 140,8%, в обрабатывающих производствах рост объема составил 116,3% к уровню аналогичного периода предыдущего года в сопоставимых ценах, по добыче полезных ископаемых – 105,9%.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 п</w:t>
      </w:r>
      <w:r w:rsidRPr="00C06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основных видов продукции сложилось следующим образом</w:t>
      </w:r>
      <w:r w:rsidRPr="00C06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добыча нефти, включая газовый конденсат – 46,9 млн. тонн или 102,4% к уровню 2011 года (45,8 млн. тонн);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добыча газа – 3,684 млрд. куб. метров или 105,9% к уровню 2011 года</w:t>
      </w:r>
      <w:r w:rsidRPr="00C0676C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(3,477 млрд. куб. метров);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электроэнергии – 1 857,3 </w:t>
      </w:r>
      <w:r w:rsidRPr="00C06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млн. кВт/час или 155,9% к уровню 2011 года (1 191,2млн. кВт/час);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добыча строительного песка – 8 235,7 тыс. куб. м или 53,6% к уровню 2011 года (15 364,2 тыс. куб. м);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Лидирующими предприятиями по добыче нефти на территории района в отчетном периоде остаются ОАО НК «Роснефть», на его долю приходится 69,1% от общего объема добытой нефти; ОАО «</w:t>
      </w:r>
      <w:proofErr w:type="spell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</w:t>
      </w:r>
      <w:proofErr w:type="spell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24%;              ТНК-ВР Менеджмент – 3,5%.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продукции сельского хозяйства (с учетом населения) характеризуется положительной динамикой: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производство мяса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884,7 тонны, увеличившись на 32,8% к уровню 2011 года;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производство молока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5 360,0 тонн, увеличившись на 6,5% к уровню 2011 года.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 инвестиций в основной капитал</w:t>
      </w:r>
      <w:r w:rsidRPr="00C0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крупным и средним предприятиям</w:t>
      </w: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 составил 14 381,4 млн. рублей, снизившись в сопоставимых ценах к уровню 2011 года на 19,6%.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 жилья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в объеме 13 388 кв. метров, что выше уровня  2011 года на 22,5%.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Число субъектов малого предпринимательства</w:t>
      </w: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687 единиц, увеличившись по сравнению с аналогичным периодом 2011 года на 7%. 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Оборот розничной торговли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1429,7  млн. рублей или 106,1% к уровню аналогичного периода прошлого года в сопоставимых ценах.</w:t>
      </w:r>
      <w:r w:rsidRPr="00C067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розничной торговли представлена 180 объектами розничной сети, общей торговой площадью</w:t>
      </w:r>
      <w:r w:rsidRPr="00C067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6 633,7 кв. метра.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Финансовое состояние предприятий</w:t>
      </w:r>
      <w:r w:rsidRPr="00C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ноября 2012 года: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дебиторская задолженность составила 17,9 млрд. рублей, увеличившись по сравнению с аналогичным периодом 2011 года на 5,3%, кредиторская задолженность составила 7,4  млрд. рублей, что выше соответствующего периода 2011 года на 1,7%.</w:t>
      </w:r>
      <w:r w:rsidRPr="00C067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Сальдированный финансовый результат – отрицательный и составил -225,73 млн. рублей: сумма прибыли составила 311,4 млн. рублей (01 ноября 2011 года – 890,8 млн. рублей</w:t>
      </w:r>
      <w:proofErr w:type="gram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убытка – 537,2 млн. рублей (01 ноября 2011 года – 556,4 млн. рублей). 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Налоговые доходы и сборы во все уровни бюджетной системы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формируемые на территории района, составили 7 446,1 млн. рублей, увеличившись по сравнению с аналогичным периодом 2011 года на 20,4% (6 183,9 млн. рублей).</w:t>
      </w:r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0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 консолидированного бюджета района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финансовой помощи из других уровней бюджетной системы Российской Федерации) исполнены в объеме 3 798,5 млн. рублей, увеличившись по сравнению с аналогичным периодом 2011 года на 13,2%; расходы – 3860,9 млн. рублей, увеличившись по сравнению с аналогичным периодом 2011 года на 26,3%;</w:t>
      </w:r>
      <w:r w:rsidRPr="00C067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составил 62,4 млн. рублей или 1,6% к расходам бюджета.</w:t>
      </w:r>
      <w:proofErr w:type="gramEnd"/>
    </w:p>
    <w:p w:rsidR="00C0676C" w:rsidRPr="00C0676C" w:rsidRDefault="00C0676C" w:rsidP="00C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76C" w:rsidRPr="00C0676C" w:rsidRDefault="00C0676C" w:rsidP="00C0676C">
      <w:pPr>
        <w:spacing w:after="0" w:line="240" w:lineRule="auto"/>
        <w:ind w:firstLine="708"/>
        <w:jc w:val="both"/>
      </w:pPr>
    </w:p>
    <w:p w:rsidR="00C0676C" w:rsidRPr="00C0676C" w:rsidRDefault="00C0676C" w:rsidP="00C06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 тоже время анализ предварительных результатов работы органов местного самоуправления в 2012 году позволяет сделать следующие выводы.</w:t>
      </w:r>
    </w:p>
    <w:p w:rsidR="00C0676C" w:rsidRPr="00C0676C" w:rsidRDefault="00C0676C" w:rsidP="00C0676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 2012 году на решение проблемы чистой воды в населённых пунктах района было выделено 32 552,4 тыс. руб.:</w:t>
      </w:r>
    </w:p>
    <w:p w:rsidR="00C0676C" w:rsidRPr="00C0676C" w:rsidRDefault="00C0676C" w:rsidP="00C067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  <w:lang w:eastAsia="ru-RU"/>
        </w:rPr>
        <w:t>по программе «</w:t>
      </w:r>
      <w:hyperlink r:id="rId18" w:history="1">
        <w:r w:rsidRPr="00C0676C">
          <w:rPr>
            <w:rFonts w:ascii="Times New Roman" w:hAnsi="Times New Roman" w:cs="Times New Roman"/>
            <w:sz w:val="28"/>
            <w:szCs w:val="28"/>
          </w:rPr>
          <w:t>Развитие и модернизация жилищно-коммунального комплекса Ханты-Мансийского района на 2011-2013 годы</w:t>
        </w:r>
      </w:hyperlink>
      <w:r w:rsidRPr="00C0676C">
        <w:rPr>
          <w:rFonts w:ascii="Times New Roman" w:hAnsi="Times New Roman" w:cs="Times New Roman"/>
          <w:sz w:val="28"/>
          <w:szCs w:val="28"/>
        </w:rPr>
        <w:t xml:space="preserve">» запланировано </w:t>
      </w:r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>34 561,6</w:t>
      </w:r>
      <w:r w:rsidRPr="00C06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>, фактически освоено 20 952,4</w:t>
      </w:r>
      <w:r w:rsidRPr="00C06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0676C" w:rsidRPr="00C0676C" w:rsidRDefault="00C0676C" w:rsidP="00C067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на обеспечение водой учреждений образования в 2012 году выделено 11 600, 00 тыс. рублей, в том числе 2 900,0 тыс. рублей - бюджет района. </w:t>
      </w:r>
    </w:p>
    <w:p w:rsidR="00C0676C" w:rsidRPr="00C0676C" w:rsidRDefault="00C0676C" w:rsidP="00C067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76C">
        <w:rPr>
          <w:rFonts w:ascii="Times New Roman" w:hAnsi="Times New Roman" w:cs="Times New Roman"/>
          <w:b/>
          <w:sz w:val="28"/>
          <w:szCs w:val="28"/>
        </w:rPr>
        <w:t xml:space="preserve">Если проблемы образовательных учреждений с потреблением чистой воды частично решена, то поставляемая вода жителям населенных пунктов района соответствует качеству только в </w:t>
      </w:r>
      <w:proofErr w:type="spellStart"/>
      <w:r w:rsidRPr="00C0676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0676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C0676C">
        <w:rPr>
          <w:rFonts w:ascii="Times New Roman" w:hAnsi="Times New Roman" w:cs="Times New Roman"/>
          <w:b/>
          <w:sz w:val="28"/>
          <w:szCs w:val="28"/>
        </w:rPr>
        <w:t>роица</w:t>
      </w:r>
      <w:proofErr w:type="spellEnd"/>
      <w:r w:rsidRPr="00C0676C">
        <w:rPr>
          <w:rFonts w:ascii="Times New Roman" w:hAnsi="Times New Roman" w:cs="Times New Roman"/>
          <w:b/>
          <w:sz w:val="28"/>
          <w:szCs w:val="28"/>
        </w:rPr>
        <w:t>.</w:t>
      </w:r>
    </w:p>
    <w:p w:rsidR="00C0676C" w:rsidRPr="00C0676C" w:rsidRDefault="00C0676C" w:rsidP="00C0676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C0676C">
        <w:rPr>
          <w:rFonts w:ascii="Times New Roman" w:hAnsi="Times New Roman" w:cs="Times New Roman"/>
          <w:sz w:val="28"/>
          <w:szCs w:val="28"/>
        </w:rPr>
        <w:t>«Комплексное развитие жилищного строительства на территории Ханты-Мансийского района на 2011-2013 годы» всего было выделено 425 494,1 тыс. рублей. Фактически в 2012 году ввод жилья сложился в объеме 13 38 кв. метров, при этом 5 800 кв. метров – это ИЖС и лишь 7 580 кв. метров – это жилые помещения, построенные в рамках мероприятий программы. Как видно объёмы финансирования и объёмы фактически построенного жилья не соизмеримы. Необходимо организовать исполнение поставленной Губернатором Югры задачи ежегодного ввода жилья из расчёта 1 кв. метр на одного жителя в год.</w:t>
      </w:r>
    </w:p>
    <w:p w:rsidR="00C0676C" w:rsidRPr="00C0676C" w:rsidRDefault="00C0676C" w:rsidP="00C0676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году: </w:t>
      </w:r>
    </w:p>
    <w:p w:rsidR="00C0676C" w:rsidRPr="00C0676C" w:rsidRDefault="00C0676C" w:rsidP="00C0676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поддержки предпринимательства было выделено </w:t>
      </w:r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18 116,689 тыс. рублей (федеральный бюджет - </w:t>
      </w:r>
      <w:r w:rsidRPr="00C0676C">
        <w:rPr>
          <w:rFonts w:ascii="Times New Roman" w:hAnsi="Times New Roman" w:cs="Times New Roman"/>
          <w:color w:val="000000"/>
          <w:sz w:val="28"/>
          <w:szCs w:val="28"/>
        </w:rPr>
        <w:t>805,0</w:t>
      </w:r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Pr="00C0676C">
        <w:rPr>
          <w:rFonts w:ascii="Times New Roman" w:hAnsi="Times New Roman" w:cs="Times New Roman"/>
          <w:color w:val="000000"/>
          <w:sz w:val="28"/>
          <w:szCs w:val="28"/>
        </w:rPr>
        <w:t>, окружной бюджет 10 111,689</w:t>
      </w:r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Pr="00C0676C">
        <w:rPr>
          <w:rFonts w:ascii="Times New Roman" w:hAnsi="Times New Roman" w:cs="Times New Roman"/>
          <w:color w:val="000000"/>
          <w:sz w:val="28"/>
          <w:szCs w:val="28"/>
        </w:rPr>
        <w:t>, бюджет района – 7 200,000</w:t>
      </w:r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рублей);</w:t>
      </w:r>
    </w:p>
    <w:p w:rsidR="00C0676C" w:rsidRPr="00C0676C" w:rsidRDefault="00C0676C" w:rsidP="00C0676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программе комплексного развития АПК было выделено </w:t>
      </w:r>
      <w:r w:rsidRPr="00C0676C">
        <w:rPr>
          <w:rFonts w:ascii="Times New Roman" w:eastAsia="Calibri" w:hAnsi="Times New Roman" w:cs="Times New Roman"/>
          <w:sz w:val="28"/>
          <w:szCs w:val="28"/>
        </w:rPr>
        <w:t xml:space="preserve">150 269,2 </w:t>
      </w:r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 (</w:t>
      </w:r>
      <w:r w:rsidRPr="00C0676C">
        <w:rPr>
          <w:rFonts w:ascii="Times New Roman" w:hAnsi="Times New Roman" w:cs="Times New Roman"/>
          <w:color w:val="000000"/>
          <w:sz w:val="28"/>
          <w:szCs w:val="28"/>
        </w:rPr>
        <w:t xml:space="preserve">окружной бюджет - </w:t>
      </w:r>
      <w:r w:rsidRPr="00C0676C">
        <w:rPr>
          <w:rFonts w:ascii="Times New Roman" w:eastAsia="Calibri" w:hAnsi="Times New Roman" w:cs="Times New Roman"/>
          <w:sz w:val="28"/>
          <w:szCs w:val="28"/>
        </w:rPr>
        <w:t>133 769,2</w:t>
      </w:r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Pr="00C0676C">
        <w:rPr>
          <w:rFonts w:ascii="Times New Roman" w:hAnsi="Times New Roman" w:cs="Times New Roman"/>
          <w:color w:val="000000"/>
          <w:sz w:val="28"/>
          <w:szCs w:val="28"/>
        </w:rPr>
        <w:t xml:space="preserve">, бюджет района - </w:t>
      </w:r>
      <w:r w:rsidRPr="00C0676C">
        <w:rPr>
          <w:rFonts w:ascii="Times New Roman" w:eastAsia="Calibri" w:hAnsi="Times New Roman" w:cs="Times New Roman"/>
          <w:sz w:val="28"/>
          <w:szCs w:val="28"/>
        </w:rPr>
        <w:t>16 500,0</w:t>
      </w:r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рублей), в результате оказанных поддержек </w:t>
      </w:r>
      <w:r w:rsidRPr="00C0676C">
        <w:rPr>
          <w:rFonts w:ascii="Times New Roman" w:hAnsi="Times New Roman" w:cs="Times New Roman"/>
          <w:b/>
          <w:i/>
          <w:sz w:val="28"/>
          <w:szCs w:val="28"/>
        </w:rPr>
        <w:t>производство мяса</w:t>
      </w:r>
      <w:r w:rsidRPr="00C0676C">
        <w:rPr>
          <w:rFonts w:ascii="Times New Roman" w:hAnsi="Times New Roman" w:cs="Times New Roman"/>
          <w:sz w:val="28"/>
          <w:szCs w:val="28"/>
        </w:rPr>
        <w:t xml:space="preserve"> увеличилось на 32,8% к уровню 2011 года, </w:t>
      </w:r>
      <w:r w:rsidRPr="00C0676C">
        <w:rPr>
          <w:rFonts w:ascii="Times New Roman" w:hAnsi="Times New Roman" w:cs="Times New Roman"/>
          <w:b/>
          <w:i/>
          <w:sz w:val="28"/>
          <w:szCs w:val="28"/>
        </w:rPr>
        <w:t>молока</w:t>
      </w:r>
      <w:r w:rsidRPr="00C0676C">
        <w:rPr>
          <w:rFonts w:ascii="Times New Roman" w:hAnsi="Times New Roman" w:cs="Times New Roman"/>
          <w:sz w:val="28"/>
          <w:szCs w:val="28"/>
        </w:rPr>
        <w:t xml:space="preserve"> увеличилось на 6,5%, но по уровню безработицы Ханты-Мансийский район остаётся на 18 месте среди 22 муниципальных образований округа.</w:t>
      </w:r>
      <w:proofErr w:type="gramEnd"/>
    </w:p>
    <w:p w:rsidR="00C0676C" w:rsidRPr="00C0676C" w:rsidRDefault="00C0676C" w:rsidP="00C0676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6C">
        <w:rPr>
          <w:rFonts w:ascii="Times New Roman" w:hAnsi="Times New Roman" w:cs="Times New Roman"/>
          <w:sz w:val="28"/>
          <w:szCs w:val="28"/>
        </w:rPr>
        <w:t xml:space="preserve">В рамках реализации долгосрочной муниципальной целевой программы «Развитие и модернизация жилищно-коммунального комплекса Ханты-Мансийского района на 2011 – 2015 годы» в 2012 году было израсходовано </w:t>
      </w:r>
      <w:r w:rsidRPr="00C0676C">
        <w:rPr>
          <w:rFonts w:ascii="Times New Roman" w:hAnsi="Times New Roman" w:cs="Times New Roman"/>
          <w:bCs/>
          <w:color w:val="000000"/>
          <w:sz w:val="28"/>
          <w:szCs w:val="28"/>
        </w:rPr>
        <w:t>164 532,6 тыс. руб., при этом из бюджета района 101 584,7 тыс. руб., из бюджета автономного округа 62 872,5 тыс. руб. Как видно в объёмах расходов денежных средств из различных уровней бюджетной системы имеется явный дисбаланс.</w:t>
      </w:r>
      <w:proofErr w:type="gramEnd"/>
    </w:p>
    <w:p w:rsidR="00C0676C" w:rsidRPr="00C0676C" w:rsidRDefault="00C0676C" w:rsidP="00C0676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6C" w:rsidRPr="00C0676C" w:rsidRDefault="00C0676C" w:rsidP="00C0676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изложенного предлагаю в 2013 году направить усилия всех органов местного самоуправления на решение следующих задач:</w:t>
      </w:r>
    </w:p>
    <w:p w:rsidR="00C0676C" w:rsidRPr="00C0676C" w:rsidRDefault="00C0676C" w:rsidP="00C0676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проблемы чистой питьевой воды на основании комплексного плана мероприятий, охватывающего, в том числе решение этой проблемы в социальных учреждениях;</w:t>
      </w:r>
    </w:p>
    <w:p w:rsidR="00C0676C" w:rsidRPr="00C0676C" w:rsidRDefault="00C0676C" w:rsidP="00C0676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поставленной Губернатором Югры задачи ввода в районе 20 тыс. кв. м. жилья в год. Обеспечить </w:t>
      </w:r>
      <w:proofErr w:type="gramStart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строительства жилья и его качеством.</w:t>
      </w:r>
    </w:p>
    <w:p w:rsidR="00C0676C" w:rsidRPr="00C0676C" w:rsidRDefault="00C0676C" w:rsidP="00C0676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выделяемых денежных средств, организовать более эффективную работу по созданию на территории района новых рабочих мест, с целью сокращения негативных миграционных процессов, закреплению молодёжи на селе, прежде всего за счёт более динамичного развития агропромышленного комплекса.</w:t>
      </w:r>
    </w:p>
    <w:p w:rsidR="00C0676C" w:rsidRPr="00C0676C" w:rsidRDefault="00C0676C" w:rsidP="00C0676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оценку эффективности работы органов администрации Ханты-Мансийского района одним из показателей - привлечение средств бюджета округа и Российской Федерации, освоение этих средств и объём возвращённых не использованных средств.</w:t>
      </w:r>
    </w:p>
    <w:p w:rsidR="00C0676C" w:rsidRPr="00C0676C" w:rsidRDefault="00C0676C" w:rsidP="00C06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82" w:rsidRDefault="009C7782">
      <w:bookmarkStart w:id="4" w:name="_GoBack"/>
      <w:bookmarkEnd w:id="4"/>
    </w:p>
    <w:sectPr w:rsidR="009C7782" w:rsidSect="0005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A1B"/>
    <w:multiLevelType w:val="hybridMultilevel"/>
    <w:tmpl w:val="1E24C638"/>
    <w:lvl w:ilvl="0" w:tplc="8A8E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0160A9"/>
    <w:multiLevelType w:val="hybridMultilevel"/>
    <w:tmpl w:val="689C80EC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C13526"/>
    <w:multiLevelType w:val="hybridMultilevel"/>
    <w:tmpl w:val="5A5A8B42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4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90694"/>
    <w:rsid w:val="00BE1CD3"/>
    <w:rsid w:val="00BE78CB"/>
    <w:rsid w:val="00BF68C0"/>
    <w:rsid w:val="00C0676C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hmao.ru/deputies/V/gogoleva/" TargetMode="External"/><Relationship Id="rId13" Type="http://schemas.openxmlformats.org/officeDocument/2006/relationships/hyperlink" Target="http://www.dumahmao.ru/deputies/V/mailhohryakovbs/" TargetMode="External"/><Relationship Id="rId18" Type="http://schemas.openxmlformats.org/officeDocument/2006/relationships/hyperlink" Target="http://hmrn.ru/raion/ekonomika/socio_economic_programm/programms/post171-zkh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mahmao.ru/deputies/V/andreev/" TargetMode="External"/><Relationship Id="rId12" Type="http://schemas.openxmlformats.org/officeDocument/2006/relationships/hyperlink" Target="http://www.dumahmao.ru/deputies/V/sond/" TargetMode="External"/><Relationship Id="rId17" Type="http://schemas.openxmlformats.org/officeDocument/2006/relationships/hyperlink" Target="consultantplus://offline/ref=BE619D06828CC0FC35AC6573A1EEB1555708CC2BD7E7127D41383BF9A4BDQ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619D06828CC0FC35AC6573A1EEB1555708CF2CDDE4127D41383BF9A4BDQ2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umahmao.ru/deputies/V/alekseevang/" TargetMode="External"/><Relationship Id="rId11" Type="http://schemas.openxmlformats.org/officeDocument/2006/relationships/hyperlink" Target="http://www.dumahmao.ru/deputies/V/mizgul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a72.ru/ru/structure/deputats/14146/" TargetMode="External"/><Relationship Id="rId10" Type="http://schemas.openxmlformats.org/officeDocument/2006/relationships/hyperlink" Target="http://www.dumahmao.ru/deputies/V/zapadnovan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hmao.ru/deputies/V/DegtyarevSU/" TargetMode="External"/><Relationship Id="rId14" Type="http://schemas.openxmlformats.org/officeDocument/2006/relationships/hyperlink" Target="http://www.duma72.ru/ru/structure/deputats/14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4487</Words>
  <Characters>25579</Characters>
  <Application>Microsoft Office Word</Application>
  <DocSecurity>0</DocSecurity>
  <Lines>213</Lines>
  <Paragraphs>60</Paragraphs>
  <ScaleCrop>false</ScaleCrop>
  <Company/>
  <LinksUpToDate>false</LinksUpToDate>
  <CharactersWithSpaces>30006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2013-05-08T04:26:00Z</dcterms:created>
  <dcterms:modified xsi:type="dcterms:W3CDTF">2013-05-08T04:28:00Z</dcterms:modified>
</cp:coreProperties>
</file>